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Zielvereinbarung</w:t>
      </w:r>
    </w:p>
    <w:p>
      <w:pPr>
        <w:spacing w:after="280"/>
      </w:pPr>
      <w:r>
        <w:rPr>
          <w:sz w:val="26"/>
        </w:rPr>
        <w:t>Gemeinsam entwickeln und überprüfen</w:t>
      </w:r>
    </w:p>
    <w:p>
      <w:pPr>
        <w:spacing w:after="320"/>
      </w:pPr>
      <w:r>
        <w:rPr>
          <w:sz w:val="20"/>
        </w:rPr>
        <w:t>Ein Arbeitsblatt pro Ziel. Anliegen und Sichtweisen gemeinsam klären, einen erreichbaren Schritt vereinbaren und Fortschritt zusammen betrachten.</w:t>
      </w:r>
    </w:p>
    <w:p>
      <w:pPr>
        <w:pStyle w:val="Heading2"/>
      </w:pPr>
      <w:r>
        <w:t>Rahmen und Beteiligung</w:t>
      </w:r>
    </w:p>
    <w:p>
      <w:pPr>
        <w:spacing w:after="0"/>
      </w:pPr>
      <w:r>
        <w:rPr>
          <w:color w:val="52616A"/>
          <w:sz w:val="17"/>
        </w:rPr>
        <w:t>Fallkürzel · Datum · Beteiligte · Wessen Sicht fehlt noch?</w:t>
      </w:r>
    </w:p>
    <w:p>
      <w:pPr>
        <w:spacing w:line="380" w:lineRule="exact" w:after="0"/>
        <w:pBdr>
          <w:bottom w:val="single" w:sz="4" w:color="BCCBD0" w:space="0"/>
          <w:between w:val="single" w:sz="4" w:color="BCCBD0" w:space="0"/>
        </w:pBdr>
      </w:pPr>
    </w:p>
    <w:p>
      <w:pPr>
        <w:spacing w:line="380" w:lineRule="exact" w:after="200"/>
        <w:pBdr>
          <w:bottom w:val="single" w:sz="4" w:color="BCCBD0" w:space="0"/>
          <w:between w:val="single" w:sz="4" w:color="BCCBD0" w:space="0"/>
        </w:pBdr>
      </w:pPr>
    </w:p>
    <w:p>
      <w:pPr>
        <w:pStyle w:val="Heading2"/>
      </w:pPr>
      <w:r>
        <w:t>Anliegen und gewünschte Veränderung</w:t>
      </w:r>
    </w:p>
    <w:p>
      <w:pPr>
        <w:spacing w:after="0"/>
      </w:pPr>
      <w:r>
        <w:rPr>
          <w:color w:val="52616A"/>
          <w:sz w:val="17"/>
        </w:rPr>
        <w:t>Was wünschen sich Kind, junge Person und Bezugspersonen? Unterschiede festhalten.</w:t>
      </w:r>
    </w:p>
    <w:p>
      <w:pPr>
        <w:spacing w:line="380" w:lineRule="exact" w:after="0"/>
        <w:pBdr>
          <w:bottom w:val="single" w:sz="4" w:color="BCCBD0" w:space="0"/>
          <w:between w:val="single" w:sz="4" w:color="BCCBD0" w:space="0"/>
        </w:pBdr>
      </w:pPr>
    </w:p>
    <w:p>
      <w:pPr>
        <w:spacing w:line="380" w:lineRule="exact" w:after="200"/>
        <w:pBdr>
          <w:bottom w:val="single" w:sz="4" w:color="BCCBD0" w:space="0"/>
          <w:between w:val="single" w:sz="4" w:color="BCCBD0" w:space="0"/>
        </w:pBdr>
      </w:pPr>
    </w:p>
    <w:p>
      <w:pPr>
        <w:pStyle w:val="Heading2"/>
      </w:pPr>
      <w:r>
        <w:t>Gemeinsam vereinbartes Ziel</w:t>
      </w:r>
    </w:p>
    <w:p>
      <w:pPr>
        <w:spacing w:after="0"/>
      </w:pPr>
      <w:r>
        <w:rPr>
          <w:color w:val="52616A"/>
          <w:sz w:val="17"/>
        </w:rPr>
        <w:t>Was soll im Alltag anders sein? In verständlichen, möglichst eigenen Worten formulieren.</w:t>
      </w:r>
    </w:p>
    <w:p>
      <w:pPr>
        <w:spacing w:line="380" w:lineRule="exact" w:after="0"/>
        <w:pBdr>
          <w:bottom w:val="single" w:sz="4" w:color="BCCBD0" w:space="0"/>
          <w:between w:val="single" w:sz="4" w:color="BCCBD0" w:space="0"/>
        </w:pBdr>
      </w:pPr>
    </w:p>
    <w:p>
      <w:pPr>
        <w:spacing w:line="380" w:lineRule="exact" w:after="200"/>
        <w:pBdr>
          <w:bottom w:val="single" w:sz="4" w:color="BCCBD0" w:space="0"/>
          <w:between w:val="single" w:sz="4" w:color="BCCBD0" w:space="0"/>
        </w:pBdr>
      </w:pPr>
    </w:p>
    <w:p>
      <w:pPr>
        <w:pStyle w:val="Heading2"/>
      </w:pPr>
      <w:r>
        <w:t>Woran erkennen wir Fortschritt</w:t>
      </w:r>
    </w:p>
    <w:p>
      <w:pPr>
        <w:spacing w:after="0"/>
      </w:pPr>
      <w:r>
        <w:rPr>
          <w:color w:val="52616A"/>
          <w:sz w:val="17"/>
        </w:rPr>
        <w:t>Konkrete Anzeichen · Sicht der Beteiligten · Wie viel Unterstützung war nötig?</w:t>
      </w:r>
    </w:p>
    <w:p>
      <w:pPr>
        <w:spacing w:line="380" w:lineRule="exact" w:after="0"/>
        <w:pBdr>
          <w:bottom w:val="single" w:sz="4" w:color="BCCBD0" w:space="0"/>
          <w:between w:val="single" w:sz="4" w:color="BCCBD0" w:space="0"/>
        </w:pBdr>
      </w:pPr>
    </w:p>
    <w:p>
      <w:pPr>
        <w:spacing w:line="380" w:lineRule="exact" w:after="200"/>
        <w:pBdr>
          <w:bottom w:val="single" w:sz="4" w:color="BCCBD0" w:space="0"/>
          <w:between w:val="single" w:sz="4" w:color="BCCBD0" w:space="0"/>
        </w:pBdr>
      </w:pPr>
    </w:p>
    <w:p>
      <w:pPr>
        <w:pStyle w:val="Heading2"/>
      </w:pPr>
      <w:r>
        <w:t>Schritte und Unterstützung</w:t>
      </w:r>
    </w:p>
    <w:p>
      <w:pPr>
        <w:spacing w:after="0"/>
      </w:pPr>
      <w:r>
        <w:rPr>
          <w:color w:val="52616A"/>
          <w:sz w:val="17"/>
        </w:rPr>
        <w:t>Erster kleiner Schritt · wer, was, bis wann · gewünschte Hilfe · mögliche Hürden</w:t>
      </w:r>
    </w:p>
    <w:p>
      <w:pPr>
        <w:spacing w:line="380" w:lineRule="exact" w:after="0"/>
        <w:pBdr>
          <w:bottom w:val="single" w:sz="4" w:color="BCCBD0" w:space="0"/>
          <w:between w:val="single" w:sz="4" w:color="BCCBD0" w:space="0"/>
        </w:pBdr>
      </w:pPr>
    </w:p>
    <w:p>
      <w:pPr>
        <w:spacing w:line="380" w:lineRule="exact" w:after="200"/>
        <w:pBdr>
          <w:bottom w:val="single" w:sz="4" w:color="BCCBD0" w:space="0"/>
          <w:between w:val="single" w:sz="4" w:color="BCCBD0" w:space="0"/>
        </w:pBdr>
      </w:pPr>
    </w:p>
    <w:p>
      <w:pPr>
        <w:pStyle w:val="Heading2"/>
      </w:pPr>
      <w:r>
        <w:t>Überprüfung und Anpassung</w:t>
      </w:r>
    </w:p>
    <w:p>
      <w:pPr>
        <w:spacing w:after="0"/>
      </w:pPr>
      <w:r>
        <w:rPr>
          <w:color w:val="52616A"/>
          <w:sz w:val="17"/>
        </w:rPr>
        <w:t>Termin · Beteiligte · Was tun wir, wenn der Schritt nicht passt oder Hindernisse auftreten?</w:t>
      </w:r>
    </w:p>
    <w:p>
      <w:pPr>
        <w:spacing w:line="380" w:lineRule="exact" w:after="0"/>
        <w:pBdr>
          <w:bottom w:val="single" w:sz="4" w:color="BCCBD0" w:space="0"/>
          <w:between w:val="single" w:sz="4" w:color="BCCBD0" w:space="0"/>
        </w:pBdr>
      </w:pPr>
    </w:p>
    <w:p>
      <w:pPr>
        <w:spacing w:line="380" w:lineRule="exact" w:after="200"/>
        <w:pBdr>
          <w:bottom w:val="single" w:sz="4" w:color="BCCBD0" w:space="0"/>
          <w:between w:val="single" w:sz="4" w:color="BCCBD0" w:space="0"/>
        </w:pBdr>
      </w:pPr>
    </w:p>
    <w:p>
      <w:pPr>
        <w:spacing w:before="320"/>
      </w:pPr>
      <w:r>
        <w:rPr>
          <w:sz w:val="16"/>
        </w:rPr>
        <w:t>Arbeitshilfe, kein amtliches Formular. Fachliche Einschätzung und Trägerverfahren bleiben maßgeblich. Nur erforderliche Angaben verwenden. Dateien ausschließlich in der vorgesehenen, geschützten Arbeitsumgebung bearbeiten.</w:t>
      </w:r>
    </w:p>
    <w:p>
      <w:r>
        <w:br w:type="page"/>
      </w:r>
    </w:p>
    <w:p>
      <w:pPr>
        <w:pStyle w:val="Title"/>
      </w:pPr>
      <w:r>
        <w:t>So kann es aussehen</w:t>
      </w:r>
    </w:p>
    <w:p>
      <w:pPr>
        <w:spacing w:after="440"/>
      </w:pPr>
      <w:r>
        <w:t>Vollständig erfundenes Beispiel · Zielvereinbarung</w:t>
      </w:r>
    </w:p>
    <w:p>
      <w:pPr>
        <w:pStyle w:val="Heading2"/>
      </w:pPr>
      <w:r>
        <w:t>Rahmen und Beteiligung</w:t>
      </w:r>
    </w:p>
    <w:p>
      <w:pPr>
        <w:spacing w:after="280"/>
      </w:pPr>
      <w:r>
        <w:t>Fallkürzel F-12 · 16.09.2026. Junge Person (15), Bezugsperson und Fachkraft entwickeln das Ziel gemeinsam.</w:t>
      </w:r>
    </w:p>
    <w:p>
      <w:pPr>
        <w:pStyle w:val="Heading2"/>
      </w:pPr>
      <w:r>
        <w:t>Anliegen und gewünschte Veränderung</w:t>
      </w:r>
    </w:p>
    <w:p>
      <w:pPr>
        <w:spacing w:after="280"/>
      </w:pPr>
      <w:r>
        <w:t>Junge Person: „Ich will nach der Schule erst kurz Ruhe.“ Bezugsperson: „Ich möchte wissen, wann wir Dinge für morgen klären können.“ Beide wünschen weniger Streit am Nachmittag.</w:t>
      </w:r>
    </w:p>
    <w:p>
      <w:pPr>
        <w:pStyle w:val="Heading2"/>
      </w:pPr>
      <w:r>
        <w:t>Gemeinsam vereinbartes Ziel</w:t>
      </w:r>
    </w:p>
    <w:p>
      <w:pPr>
        <w:spacing w:after="280"/>
      </w:pPr>
      <w:r>
        <w:t>In den nächsten zwei Wochen probieren wir einen vereinbarten Zeitpunkt aus, um in höchstens zehn Minuten den nächsten Tag zu besprechen. Die junge Person erhält davor eine selbst gewählte Ruhezeit.</w:t>
      </w:r>
    </w:p>
    <w:p>
      <w:pPr>
        <w:pStyle w:val="Heading2"/>
      </w:pPr>
      <w:r>
        <w:t>Woran erkennen wir Fortschritt</w:t>
      </w:r>
    </w:p>
    <w:p>
      <w:pPr>
        <w:spacing w:after="280"/>
      </w:pPr>
      <w:r>
        <w:t>Beide halten fest: Hat das Gespräch stattgefunden? War der Zeitpunkt passend? Welche Erinnerung oder Begleitung war nötig? Was war entlastend? Beide Sichtweisen werden besprochen. Ein Erfolg mit Unterstützung belegt noch keinen selbstständigen Transfer.</w:t>
      </w:r>
    </w:p>
    <w:p>
      <w:pPr>
        <w:pStyle w:val="Heading2"/>
      </w:pPr>
      <w:r>
        <w:t>Schritte und Unterstützung</w:t>
      </w:r>
    </w:p>
    <w:p>
      <w:pPr>
        <w:spacing w:after="280"/>
      </w:pPr>
      <w:r>
        <w:t>Bis 18.09. wählen beide gemeinsam Zeit und Erinnerungszeichen. Die Fachkraft unterstützt bei der Vereinbarung. An drei selbst gewählten Tagen pro Woche wird der Ablauf erprobt.</w:t>
      </w:r>
    </w:p>
    <w:p>
      <w:pPr>
        <w:pStyle w:val="Heading2"/>
      </w:pPr>
      <w:r>
        <w:t>Überprüfung und Anpassung</w:t>
      </w:r>
    </w:p>
    <w:p>
      <w:pPr>
        <w:spacing w:after="280"/>
      </w:pPr>
      <w:r>
        <w:t>Am 30.09. gemeinsamer Rückblick. Bei unpassendem Zeitpunkt wird dieser verändert. Wenn Gespräche wiederholt eskalieren, wird mit der Fachkraft eine andere Form des Austauschs vereinbart.</w:t>
      </w:r>
    </w:p>
    <w:p>
      <w:r>
        <w:rPr>
          <w:sz w:val="18"/>
        </w:rPr>
        <w:t>Für die eigene Arbeit: Das Beispiel zeigt eine mögliche Struktur, keine allgemein gültige Formulierung. Inhalt und Umfang an Situation, Auftrag und Trägerverfahren anpassen.</w:t>
      </w:r>
    </w:p>
    <w:p>
      <w:r>
        <w:rPr>
          <w:sz w:val="16"/>
        </w:rPr>
        <w:t>Kostenlos intern nutzen und anpassen; unverändert weitergeben. Eigene Änderungen kennzeichnen. Kein Weiterverkauf.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0" w:right="1040" w:bottom="960" w:left="1040" w:header="560" w:footer="5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26" w:val="right"/>
      </w:tabs>
      <w:spacing w:after="0"/>
    </w:pPr>
    <w:r>
      <w:rPr>
        <w:color w:val="52616A"/>
        <w:sz w:val="16"/>
      </w:rPr>
      <w:t>fallfokus.de · Entwurf 1.1 · 26.09.2026</w:t>
      <w:tab/>
    </w:r>
    <w:fldSimple w:instr="PAGE"/>
    <w:r>
      <w:rPr>
        <w:sz w:val="16"/>
      </w:rPr>
      <w:t xml:space="preserve"> /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contextualSpacing/>
    </w:pPr>
    <w:r>
      <w:drawing>
        <wp:inline xmlns:a="http://schemas.openxmlformats.org/drawingml/2006/main" xmlns:pic="http://schemas.openxmlformats.org/drawingml/2006/picture">
          <wp:extent cx="254000" cy="25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C4351"/>
        <w:sz w:val="22"/>
        <w:position w:val="12"/>
      </w:rPr>
      <w:t xml:space="preserve">  Fallfokus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36" w:lineRule="auto"/>
    </w:pPr>
    <w:rPr>
      <w:rFonts w:ascii="Arial" w:hAnsi="Arial"/>
      <w:color w:val="0C43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C435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6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C435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64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C435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